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E73A2E" w14:textId="77777777" w:rsidR="004400BA" w:rsidRDefault="004400BA" w:rsidP="004400BA">
      <w:pPr>
        <w:jc w:val="right"/>
        <w:rPr>
          <w:rFonts w:ascii="Tahoma" w:eastAsia="Times New Roman" w:hAnsi="Tahoma" w:cs="Tahoma"/>
          <w:b/>
          <w:bCs/>
          <w:sz w:val="20"/>
          <w:szCs w:val="20"/>
          <w:lang w:eastAsia="ar-SA"/>
        </w:rPr>
      </w:pPr>
      <w:r>
        <w:rPr>
          <w:rFonts w:ascii="Tahoma" w:eastAsia="Times New Roman" w:hAnsi="Tahoma" w:cs="Tahoma"/>
          <w:sz w:val="20"/>
          <w:szCs w:val="20"/>
          <w:lang w:eastAsia="ar-SA"/>
        </w:rPr>
        <w:t>ALLEGATO 1)</w:t>
      </w:r>
    </w:p>
    <w:p w14:paraId="2BAFF69D" w14:textId="77777777" w:rsidR="004400BA" w:rsidRDefault="004400BA" w:rsidP="004400BA">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894C146" w14:textId="77777777" w:rsidR="004400BA" w:rsidRDefault="004400BA" w:rsidP="004400BA">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DC764E9" w14:textId="77777777" w:rsidR="004400BA" w:rsidRDefault="004400BA" w:rsidP="004400BA">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5770741" w14:textId="77777777" w:rsidR="004400BA" w:rsidRDefault="004400BA" w:rsidP="004400BA">
      <w:pPr>
        <w:suppressAutoHyphens/>
        <w:spacing w:after="0" w:line="240" w:lineRule="auto"/>
        <w:jc w:val="center"/>
        <w:rPr>
          <w:rFonts w:ascii="Tahoma" w:eastAsia="Times New Roman" w:hAnsi="Tahoma" w:cs="Tahoma"/>
          <w:sz w:val="18"/>
          <w:szCs w:val="18"/>
          <w:lang w:eastAsia="ar-SA"/>
        </w:rPr>
      </w:pPr>
    </w:p>
    <w:p w14:paraId="425DFC77" w14:textId="77777777" w:rsidR="004400BA" w:rsidRDefault="004400BA" w:rsidP="004400BA">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Alla Stazione Unica Appaltante della Provincia di Piacenza</w:t>
      </w:r>
    </w:p>
    <w:p w14:paraId="2AAB2F62" w14:textId="77777777" w:rsidR="004400BA" w:rsidRDefault="004400BA" w:rsidP="004400BA">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04458764" w14:textId="77777777" w:rsidR="004400BA" w:rsidRDefault="004400BA" w:rsidP="004400BA">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29121 Piacenza (PC)</w:t>
      </w:r>
    </w:p>
    <w:p w14:paraId="7A67B10F" w14:textId="77777777" w:rsidR="004400BA" w:rsidRDefault="004400BA" w:rsidP="004400BA">
      <w:pPr>
        <w:suppressAutoHyphens/>
        <w:spacing w:after="0" w:line="240" w:lineRule="auto"/>
        <w:jc w:val="both"/>
        <w:rPr>
          <w:rFonts w:ascii="Tahoma" w:eastAsia="Times New Roman" w:hAnsi="Tahoma" w:cs="Tahoma"/>
          <w:sz w:val="18"/>
          <w:szCs w:val="18"/>
          <w:lang w:eastAsia="ar-SA"/>
        </w:rPr>
      </w:pPr>
    </w:p>
    <w:p w14:paraId="77009351" w14:textId="77777777" w:rsidR="004400BA" w:rsidRDefault="004400BA" w:rsidP="004400BA">
      <w:pPr>
        <w:suppressAutoHyphens/>
        <w:spacing w:after="0" w:line="240" w:lineRule="auto"/>
        <w:rPr>
          <w:rFonts w:ascii="Tahoma" w:eastAsia="Times New Roman" w:hAnsi="Tahoma" w:cs="Tahoma"/>
          <w:sz w:val="18"/>
          <w:szCs w:val="18"/>
          <w:lang w:eastAsia="ar-SA"/>
        </w:rPr>
      </w:pPr>
    </w:p>
    <w:p w14:paraId="69EFE0FE" w14:textId="230CDAFC" w:rsidR="003C5CFC" w:rsidRDefault="004400BA" w:rsidP="00C04D6B">
      <w:pPr>
        <w:suppressAutoHyphens/>
        <w:spacing w:after="480" w:line="240" w:lineRule="auto"/>
        <w:ind w:left="28"/>
        <w:jc w:val="both"/>
        <w:rPr>
          <w:rFonts w:ascii="Tahoma" w:eastAsia="Times New Roman" w:hAnsi="Tahoma" w:cs="Tahoma"/>
          <w:b/>
          <w:sz w:val="20"/>
          <w:szCs w:val="20"/>
          <w:lang w:eastAsia="ar-SA"/>
        </w:rPr>
      </w:pPr>
      <w:r>
        <w:rPr>
          <w:rFonts w:ascii="Tahoma" w:eastAsia="Times New Roman" w:hAnsi="Tahoma" w:cs="Tahoma"/>
          <w:sz w:val="20"/>
          <w:szCs w:val="20"/>
          <w:u w:val="single"/>
          <w:lang w:eastAsia="ar-SA"/>
        </w:rPr>
        <w:t>OGGETTO:</w:t>
      </w:r>
      <w:r>
        <w:rPr>
          <w:rFonts w:ascii="Tahoma" w:eastAsia="Times New Roman" w:hAnsi="Tahoma" w:cs="Tahoma"/>
          <w:sz w:val="20"/>
          <w:szCs w:val="20"/>
          <w:lang w:eastAsia="ar-SA"/>
        </w:rPr>
        <w:t xml:space="preserve"> </w:t>
      </w:r>
      <w:r w:rsidRPr="008E3767">
        <w:rPr>
          <w:rFonts w:ascii="Tahoma" w:eastAsia="Times New Roman" w:hAnsi="Tahoma" w:cs="Tahoma"/>
          <w:b/>
          <w:sz w:val="20"/>
          <w:szCs w:val="20"/>
          <w:lang w:eastAsia="ar-SA"/>
        </w:rPr>
        <w:t xml:space="preserve">PROCEDURA APERTA PER L’AFFIDAMENTO DEI LAVORI DI </w:t>
      </w:r>
      <w:r w:rsidR="003C5CFC">
        <w:rPr>
          <w:rFonts w:ascii="Tahoma" w:eastAsia="Times New Roman" w:hAnsi="Tahoma" w:cs="Tahoma"/>
          <w:b/>
          <w:sz w:val="20"/>
          <w:szCs w:val="20"/>
          <w:lang w:eastAsia="ar-SA"/>
        </w:rPr>
        <w:t xml:space="preserve">CUI AL PROGETTO DENOMINATO </w:t>
      </w:r>
      <w:r w:rsidR="003C5CFC" w:rsidRPr="003C5CFC">
        <w:rPr>
          <w:rFonts w:ascii="Tahoma" w:eastAsia="Times New Roman" w:hAnsi="Tahoma" w:cs="Tahoma"/>
          <w:b/>
          <w:sz w:val="20"/>
          <w:szCs w:val="20"/>
          <w:lang w:eastAsia="ar-SA"/>
        </w:rPr>
        <w:t>“NUOVA SEDE POLIZIA LOCALE ECO-FRIENDLY - PIAZZA SERENA - C.U.P.: C72C21001220006</w:t>
      </w:r>
      <w:r w:rsidR="003C5CFC">
        <w:rPr>
          <w:rFonts w:ascii="Tahoma" w:eastAsia="Times New Roman" w:hAnsi="Tahoma" w:cs="Tahoma"/>
          <w:b/>
          <w:sz w:val="20"/>
          <w:szCs w:val="20"/>
          <w:lang w:eastAsia="ar-SA"/>
        </w:rPr>
        <w:t xml:space="preserve">, CIG </w:t>
      </w:r>
      <w:r w:rsidR="000C6425" w:rsidRPr="000C6425">
        <w:rPr>
          <w:rFonts w:ascii="Tahoma" w:eastAsia="Times New Roman" w:hAnsi="Tahoma" w:cs="Tahoma"/>
          <w:b/>
          <w:sz w:val="20"/>
          <w:szCs w:val="20"/>
          <w:lang w:eastAsia="ar-SA"/>
        </w:rPr>
        <w:t>94424750E0</w:t>
      </w:r>
      <w:r w:rsidR="003C5CFC">
        <w:rPr>
          <w:rFonts w:ascii="Tahoma" w:eastAsia="Times New Roman" w:hAnsi="Tahoma" w:cs="Tahoma"/>
          <w:b/>
          <w:sz w:val="20"/>
          <w:szCs w:val="20"/>
          <w:lang w:eastAsia="ar-SA"/>
        </w:rPr>
        <w:t>”.</w:t>
      </w:r>
    </w:p>
    <w:p w14:paraId="372E1757" w14:textId="39B1B29D" w:rsidR="004400BA" w:rsidRDefault="004400BA" w:rsidP="00C04D6B">
      <w:pPr>
        <w:pBdr>
          <w:top w:val="double" w:sz="2" w:space="1" w:color="000000"/>
          <w:left w:val="double" w:sz="2" w:space="1" w:color="000000"/>
          <w:bottom w:val="double" w:sz="2" w:space="1" w:color="000000"/>
          <w:right w:val="double" w:sz="2" w:space="1" w:color="000000"/>
        </w:pBdr>
        <w:spacing w:before="100" w:beforeAutospacing="1" w:after="119" w:line="240" w:lineRule="auto"/>
        <w:ind w:left="28"/>
        <w:jc w:val="both"/>
        <w:rPr>
          <w:rFonts w:ascii="Tahoma" w:eastAsia="Arial Unicode MS" w:hAnsi="Tahoma" w:cs="Tahoma"/>
          <w:color w:val="FF0000"/>
          <w:kern w:val="2"/>
          <w:sz w:val="24"/>
          <w:szCs w:val="24"/>
          <w:lang w:eastAsia="ar-SA"/>
        </w:rPr>
      </w:pPr>
      <w:r>
        <w:rPr>
          <w:rFonts w:ascii="Tahoma" w:eastAsia="Arial Unicode MS" w:hAnsi="Tahoma" w:cs="Tahoma"/>
          <w:b/>
          <w:bCs/>
          <w:color w:val="FF0000"/>
          <w:kern w:val="2"/>
          <w:sz w:val="20"/>
          <w:szCs w:val="20"/>
          <w:lang w:eastAsia="ar-SA"/>
        </w:rPr>
        <w:t>ISTRUZIONI PER LA COMPILAZIONE:</w:t>
      </w:r>
      <w:r>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0" w:type="auto"/>
        <w:tblInd w:w="75" w:type="dxa"/>
        <w:tblLayout w:type="fixed"/>
        <w:tblCellMar>
          <w:top w:w="75" w:type="dxa"/>
          <w:left w:w="75" w:type="dxa"/>
          <w:bottom w:w="75" w:type="dxa"/>
          <w:right w:w="75" w:type="dxa"/>
        </w:tblCellMar>
        <w:tblLook w:val="04A0" w:firstRow="1" w:lastRow="0" w:firstColumn="1" w:lastColumn="0" w:noHBand="0" w:noVBand="1"/>
      </w:tblPr>
      <w:tblGrid>
        <w:gridCol w:w="630"/>
        <w:gridCol w:w="690"/>
        <w:gridCol w:w="105"/>
        <w:gridCol w:w="285"/>
        <w:gridCol w:w="105"/>
        <w:gridCol w:w="2055"/>
        <w:gridCol w:w="300"/>
        <w:gridCol w:w="390"/>
        <w:gridCol w:w="195"/>
        <w:gridCol w:w="495"/>
        <w:gridCol w:w="105"/>
        <w:gridCol w:w="675"/>
        <w:gridCol w:w="300"/>
        <w:gridCol w:w="585"/>
        <w:gridCol w:w="1275"/>
        <w:gridCol w:w="600"/>
        <w:gridCol w:w="873"/>
      </w:tblGrid>
      <w:tr w:rsidR="004400BA" w14:paraId="0DCACC88" w14:textId="77777777" w:rsidTr="0002431B">
        <w:tc>
          <w:tcPr>
            <w:tcW w:w="1320" w:type="dxa"/>
            <w:gridSpan w:val="2"/>
            <w:tcBorders>
              <w:top w:val="double" w:sz="2" w:space="0" w:color="C0C0C0"/>
              <w:left w:val="double" w:sz="2" w:space="0" w:color="C0C0C0"/>
              <w:bottom w:val="double" w:sz="2" w:space="0" w:color="C0C0C0"/>
              <w:right w:val="nil"/>
            </w:tcBorders>
            <w:hideMark/>
          </w:tcPr>
          <w:p w14:paraId="7E4234D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bookmarkStart w:id="0" w:name="OLE_LINK1"/>
            <w:bookmarkStart w:id="1" w:name="OLE_LINK2"/>
            <w:bookmarkStart w:id="2" w:name="_Hlk254170315"/>
            <w:bookmarkEnd w:id="0"/>
            <w:bookmarkEnd w:id="1"/>
            <w:bookmarkEnd w:id="2"/>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CF27DA4"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8299F56" w14:textId="77777777" w:rsidTr="0002431B">
        <w:tc>
          <w:tcPr>
            <w:tcW w:w="630" w:type="dxa"/>
            <w:tcBorders>
              <w:top w:val="double" w:sz="2" w:space="0" w:color="C0C0C0"/>
              <w:left w:val="double" w:sz="2" w:space="0" w:color="C0C0C0"/>
              <w:bottom w:val="double" w:sz="2" w:space="0" w:color="C0C0C0"/>
              <w:right w:val="nil"/>
            </w:tcBorders>
            <w:hideMark/>
          </w:tcPr>
          <w:p w14:paraId="3815299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1EEA4C52"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1D7EA8E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1F235C59"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2A9A8A6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05BCD44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8BE697D" w14:textId="77777777" w:rsidTr="0002431B">
        <w:tc>
          <w:tcPr>
            <w:tcW w:w="1320" w:type="dxa"/>
            <w:gridSpan w:val="2"/>
            <w:tcBorders>
              <w:top w:val="double" w:sz="2" w:space="0" w:color="C0C0C0"/>
              <w:left w:val="double" w:sz="2" w:space="0" w:color="C0C0C0"/>
              <w:bottom w:val="double" w:sz="2" w:space="0" w:color="C0C0C0"/>
              <w:right w:val="nil"/>
            </w:tcBorders>
            <w:hideMark/>
          </w:tcPr>
          <w:p w14:paraId="2FD26868"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35FC202B"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246AE8EA"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347623F0"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334D7A3E"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E575E03"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7E49F0C5" w14:textId="77777777" w:rsidTr="0002431B">
        <w:tc>
          <w:tcPr>
            <w:tcW w:w="1320" w:type="dxa"/>
            <w:gridSpan w:val="2"/>
            <w:tcBorders>
              <w:top w:val="double" w:sz="2" w:space="0" w:color="C0C0C0"/>
              <w:left w:val="double" w:sz="2" w:space="0" w:color="C0C0C0"/>
              <w:bottom w:val="double" w:sz="2" w:space="0" w:color="C0C0C0"/>
              <w:right w:val="nil"/>
            </w:tcBorders>
            <w:hideMark/>
          </w:tcPr>
          <w:p w14:paraId="7BE1B66D"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1D206185"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408F1E0C" w14:textId="77777777" w:rsidTr="0002431B">
        <w:tc>
          <w:tcPr>
            <w:tcW w:w="1320" w:type="dxa"/>
            <w:gridSpan w:val="2"/>
            <w:tcBorders>
              <w:top w:val="double" w:sz="2" w:space="0" w:color="C0C0C0"/>
              <w:left w:val="double" w:sz="2" w:space="0" w:color="C0C0C0"/>
              <w:bottom w:val="double" w:sz="2" w:space="0" w:color="C0C0C0"/>
              <w:right w:val="nil"/>
            </w:tcBorders>
            <w:hideMark/>
          </w:tcPr>
          <w:p w14:paraId="75A6C460"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9C89F2C"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5725B0FB" w14:textId="77777777" w:rsidTr="0002431B">
        <w:tc>
          <w:tcPr>
            <w:tcW w:w="1710" w:type="dxa"/>
            <w:gridSpan w:val="4"/>
            <w:tcBorders>
              <w:top w:val="double" w:sz="2" w:space="0" w:color="C0C0C0"/>
              <w:left w:val="double" w:sz="2" w:space="0" w:color="C0C0C0"/>
              <w:bottom w:val="double" w:sz="2" w:space="0" w:color="C0C0C0"/>
              <w:right w:val="nil"/>
            </w:tcBorders>
            <w:hideMark/>
          </w:tcPr>
          <w:p w14:paraId="4D807BA4"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55140EC7"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7D87DE14"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605F93C9"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4DB55CDC"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41B851C4"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35B4E716" w14:textId="77777777" w:rsidTr="0002431B">
        <w:tc>
          <w:tcPr>
            <w:tcW w:w="1815" w:type="dxa"/>
            <w:gridSpan w:val="5"/>
            <w:tcBorders>
              <w:top w:val="double" w:sz="2" w:space="0" w:color="C0C0C0"/>
              <w:left w:val="double" w:sz="2" w:space="0" w:color="C0C0C0"/>
              <w:bottom w:val="double" w:sz="2" w:space="0" w:color="C0C0C0"/>
              <w:right w:val="nil"/>
            </w:tcBorders>
            <w:hideMark/>
          </w:tcPr>
          <w:p w14:paraId="5C0372C9"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0B576E8D"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438CF6C"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027A1E8E"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1F2E988"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EF5C5D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r w:rsidR="004400BA" w14:paraId="297EFBAD" w14:textId="77777777" w:rsidTr="0002431B">
        <w:tc>
          <w:tcPr>
            <w:tcW w:w="1425" w:type="dxa"/>
            <w:gridSpan w:val="3"/>
            <w:tcBorders>
              <w:top w:val="double" w:sz="2" w:space="0" w:color="C0C0C0"/>
              <w:left w:val="double" w:sz="2" w:space="0" w:color="C0C0C0"/>
              <w:bottom w:val="double" w:sz="2" w:space="0" w:color="C0C0C0"/>
              <w:right w:val="nil"/>
            </w:tcBorders>
            <w:hideMark/>
          </w:tcPr>
          <w:p w14:paraId="78120032"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659E69C2"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094C3163" w14:textId="77777777" w:rsidR="004400BA" w:rsidRDefault="004400BA" w:rsidP="0002431B">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4B0F6ABF" w14:textId="77777777" w:rsidR="004400BA" w:rsidRDefault="004400BA" w:rsidP="0002431B">
            <w:pPr>
              <w:suppressAutoHyphens/>
              <w:snapToGrid w:val="0"/>
              <w:spacing w:before="159" w:after="0" w:line="240" w:lineRule="auto"/>
              <w:jc w:val="both"/>
              <w:rPr>
                <w:rFonts w:ascii="Tahoma" w:eastAsia="Times New Roman" w:hAnsi="Tahoma" w:cs="Tahoma"/>
                <w:sz w:val="18"/>
                <w:szCs w:val="18"/>
                <w:lang w:eastAsia="ar-SA"/>
              </w:rPr>
            </w:pPr>
          </w:p>
        </w:tc>
      </w:tr>
    </w:tbl>
    <w:p w14:paraId="0789F0F8" w14:textId="77777777" w:rsidR="004400BA" w:rsidRDefault="004400BA" w:rsidP="004400BA">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w:t>
      </w:r>
    </w:p>
    <w:p w14:paraId="51EE1AC2" w14:textId="77777777" w:rsidR="004400BA" w:rsidRDefault="004400BA" w:rsidP="004400BA">
      <w:pPr>
        <w:suppressAutoHyphens/>
        <w:spacing w:before="119" w:after="240" w:line="240" w:lineRule="auto"/>
        <w:jc w:val="center"/>
        <w:rPr>
          <w:rFonts w:ascii="Tahoma" w:eastAsia="Times New Roman" w:hAnsi="Tahoma" w:cs="Tahoma"/>
          <w:b/>
          <w:bCs/>
          <w:sz w:val="18"/>
          <w:szCs w:val="18"/>
          <w:lang w:eastAsia="ar-SA"/>
        </w:rPr>
      </w:pPr>
      <w:r>
        <w:rPr>
          <w:rFonts w:ascii="Tahoma" w:eastAsia="Times New Roman" w:hAnsi="Tahoma" w:cs="Tahoma"/>
          <w:b/>
          <w:sz w:val="20"/>
          <w:szCs w:val="20"/>
          <w:lang w:eastAsia="ar-SA"/>
        </w:rPr>
        <w:t>CHIEDE</w:t>
      </w:r>
    </w:p>
    <w:p w14:paraId="368554F3" w14:textId="77777777" w:rsidR="004400BA" w:rsidRDefault="004400BA" w:rsidP="004400BA">
      <w:pPr>
        <w:suppressAutoHyphens/>
        <w:spacing w:before="119" w:after="240" w:line="240" w:lineRule="auto"/>
        <w:jc w:val="both"/>
        <w:rPr>
          <w:rFonts w:ascii="Tahoma" w:eastAsia="Times New Roman" w:hAnsi="Tahoma" w:cs="Tahoma"/>
          <w:color w:val="000000"/>
          <w:sz w:val="20"/>
          <w:szCs w:val="20"/>
          <w:lang w:eastAsia="ar-SA"/>
        </w:rPr>
      </w:pPr>
      <w:r>
        <w:rPr>
          <w:rFonts w:ascii="Tahoma" w:eastAsia="Times New Roman" w:hAnsi="Tahoma" w:cs="Tahoma"/>
          <w:b/>
          <w:bCs/>
          <w:sz w:val="18"/>
          <w:szCs w:val="18"/>
          <w:lang w:eastAsia="ar-SA"/>
        </w:rPr>
        <w:t xml:space="preserve">di partecipare alla gara indicata in oggetto </w:t>
      </w:r>
      <w:r>
        <w:rPr>
          <w:rFonts w:ascii="Tahoma" w:eastAsia="Times New Roman" w:hAnsi="Tahoma" w:cs="Tahoma"/>
          <w:sz w:val="20"/>
          <w:szCs w:val="20"/>
          <w:lang w:eastAsia="ar-SA"/>
        </w:rPr>
        <w:t>come:</w:t>
      </w:r>
    </w:p>
    <w:p w14:paraId="3418CB44"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operatore economico singolo;</w:t>
      </w:r>
    </w:p>
    <w:p w14:paraId="363AB324"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capogruppo di associazione temporanea di imprese o di consorzio ex art. 45, comma 2, lett. d) ed e) del D. Lgs. n. 50/2016;</w:t>
      </w:r>
    </w:p>
    <w:p w14:paraId="04F731D7" w14:textId="77777777" w:rsidR="004400BA" w:rsidRDefault="004400BA" w:rsidP="004400BA">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1A3FBCB4" w14:textId="4150B470" w:rsidR="004400BA" w:rsidRPr="00AA67DD" w:rsidRDefault="004400BA" w:rsidP="004400BA">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 di tipo orizzontale </w:t>
      </w:r>
    </w:p>
    <w:p w14:paraId="1A3716B1"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mandante di Raggruppamento Temporaneo di concorrenti o di Consorzio ex art. 45, comma 2, lett. d) ed 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4E6E3AD9" w14:textId="77777777" w:rsidR="004400BA" w:rsidRDefault="004400BA" w:rsidP="004400BA">
      <w:pPr>
        <w:suppressAutoHyphens/>
        <w:spacing w:before="120" w:after="120" w:line="240" w:lineRule="auto"/>
        <w:ind w:left="709"/>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costituendo □ già costituito</w:t>
      </w:r>
    </w:p>
    <w:p w14:paraId="75D479A9" w14:textId="736E8512" w:rsidR="004400BA" w:rsidRDefault="004400BA" w:rsidP="004400BA">
      <w:pPr>
        <w:suppressAutoHyphens/>
        <w:spacing w:before="120" w:after="120" w:line="240" w:lineRule="auto"/>
        <w:ind w:left="72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 xml:space="preserve">□ di tipo orizzontale </w:t>
      </w:r>
    </w:p>
    <w:p w14:paraId="734C38A2"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fra società cooperative di produzione e lavoro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4E25A2F3"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consorzio tra imprese artigiane ai sensi dell’art. 45, comma 2, lett. b)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14E9271C"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consorzio stabile ex art. 45, comma 2, lett. c) del D Lgs. 50/2016;</w:t>
      </w:r>
    </w:p>
    <w:p w14:paraId="4F8E270D"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impresa designata quale consorziata esecutrice;</w:t>
      </w:r>
    </w:p>
    <w:p w14:paraId="1B7CFB50" w14:textId="77777777" w:rsidR="004400BA" w:rsidRDefault="004400BA" w:rsidP="004400BA">
      <w:pPr>
        <w:numPr>
          <w:ilvl w:val="0"/>
          <w:numId w:val="1"/>
        </w:numPr>
        <w:suppressAutoHyphens/>
        <w:spacing w:before="120" w:after="120" w:line="36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operatore economico stabilito in altro Stato membro ex art. 45,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50/2016;</w:t>
      </w:r>
    </w:p>
    <w:p w14:paraId="24C1DA85"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3BE8EB78"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ausiliario;</w:t>
      </w:r>
    </w:p>
    <w:p w14:paraId="719E3B8C" w14:textId="77777777" w:rsidR="004400BA" w:rsidRDefault="004400BA" w:rsidP="004400BA">
      <w:pPr>
        <w:numPr>
          <w:ilvl w:val="0"/>
          <w:numId w:val="1"/>
        </w:numPr>
        <w:spacing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cooptato;</w:t>
      </w:r>
    </w:p>
    <w:p w14:paraId="5E5F6BB5" w14:textId="77777777" w:rsidR="004400BA"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aggregazione di imprese aderenti al contratto di rete _________________________________________ (</w:t>
      </w:r>
      <w:r>
        <w:rPr>
          <w:rFonts w:ascii="Tahoma" w:eastAsia="Times New Roman" w:hAnsi="Tahoma" w:cs="Tahoma"/>
          <w:i/>
          <w:color w:val="000000"/>
          <w:sz w:val="20"/>
          <w:szCs w:val="20"/>
          <w:lang w:eastAsia="ar-SA"/>
        </w:rPr>
        <w:t>specificare la forma</w:t>
      </w:r>
      <w:r>
        <w:rPr>
          <w:rFonts w:ascii="Tahoma" w:eastAsia="Times New Roman" w:hAnsi="Tahoma" w:cs="Tahoma"/>
          <w:color w:val="000000"/>
          <w:sz w:val="20"/>
          <w:szCs w:val="20"/>
          <w:lang w:eastAsia="ar-SA"/>
        </w:rPr>
        <w:t>);</w:t>
      </w:r>
    </w:p>
    <w:p w14:paraId="0DB3F6B8" w14:textId="77777777" w:rsidR="004400BA" w:rsidRDefault="004400BA" w:rsidP="004400BA">
      <w:pPr>
        <w:suppressAutoHyphens/>
        <w:spacing w:after="62" w:line="240" w:lineRule="auto"/>
        <w:ind w:left="426"/>
        <w:jc w:val="center"/>
        <w:rPr>
          <w:rFonts w:ascii="Tahoma" w:eastAsia="Times New Roman" w:hAnsi="Tahoma" w:cs="Tahoma"/>
          <w:color w:val="000000"/>
          <w:sz w:val="20"/>
          <w:szCs w:val="20"/>
          <w:lang w:eastAsia="ar-SA"/>
        </w:rPr>
      </w:pPr>
    </w:p>
    <w:p w14:paraId="4C0C9CE7" w14:textId="77777777" w:rsidR="004400BA" w:rsidRDefault="004400BA" w:rsidP="004400BA">
      <w:pPr>
        <w:suppressAutoHyphens/>
        <w:spacing w:before="119" w:after="0" w:line="240" w:lineRule="auto"/>
        <w:jc w:val="center"/>
        <w:rPr>
          <w:rFonts w:ascii="Tahoma" w:eastAsia="Times New Roman" w:hAnsi="Tahoma" w:cs="Tahoma"/>
          <w:bCs/>
          <w:sz w:val="20"/>
          <w:szCs w:val="20"/>
          <w:lang w:eastAsia="ar-SA"/>
        </w:rPr>
      </w:pPr>
      <w:r>
        <w:rPr>
          <w:rFonts w:ascii="Tahoma" w:eastAsia="Times New Roman" w:hAnsi="Tahoma" w:cs="Tahoma"/>
          <w:b/>
          <w:sz w:val="20"/>
          <w:szCs w:val="20"/>
          <w:lang w:eastAsia="ar-SA"/>
        </w:rPr>
        <w:t>e DICHIARA</w:t>
      </w:r>
    </w:p>
    <w:p w14:paraId="1AEC1C44" w14:textId="77777777" w:rsidR="004400BA" w:rsidRDefault="004400BA" w:rsidP="004400BA">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6F052814" w14:textId="77777777" w:rsidR="004400BA" w:rsidRDefault="004400BA" w:rsidP="004400BA">
      <w:pPr>
        <w:suppressAutoHyphens/>
        <w:spacing w:after="0" w:line="240" w:lineRule="auto"/>
        <w:jc w:val="center"/>
        <w:rPr>
          <w:rFonts w:ascii="Tahoma" w:eastAsia="Times New Roman" w:hAnsi="Tahoma" w:cs="Tahoma"/>
          <w:bCs/>
          <w:sz w:val="20"/>
          <w:szCs w:val="20"/>
          <w:lang w:eastAsia="ar-SA"/>
        </w:rPr>
      </w:pPr>
    </w:p>
    <w:p w14:paraId="33DF7D21" w14:textId="77777777" w:rsidR="004400BA" w:rsidRDefault="004400BA" w:rsidP="004400BA">
      <w:pPr>
        <w:numPr>
          <w:ilvl w:val="0"/>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ai sensi dell’art. 80, comma 5, lett. b), e dell’art. 110, commi 3, 4 e 5 del Codice, ad integrazione di quanto indicato nella parte III, sez. C, lett. d) del DGUE:</w:t>
      </w:r>
    </w:p>
    <w:p w14:paraId="1FD02A31" w14:textId="77777777" w:rsidR="004400BA" w:rsidRDefault="004400BA" w:rsidP="004400BA">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0FEF4D0E" w14:textId="77777777" w:rsidR="004400BA" w:rsidRDefault="004400BA" w:rsidP="004400BA">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6A6BCEDA" w14:textId="77777777" w:rsidR="004400BA" w:rsidRDefault="004400BA" w:rsidP="004400BA">
      <w:pPr>
        <w:numPr>
          <w:ilvl w:val="1"/>
          <w:numId w:val="1"/>
        </w:numPr>
        <w:suppressAutoHyphens/>
        <w:spacing w:after="62" w:line="240" w:lineRule="auto"/>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110, comma 3,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 Qualora l’A.N.AC. abbia 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89,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50/2016;</w:t>
      </w:r>
    </w:p>
    <w:p w14:paraId="44EB66F3" w14:textId="77777777" w:rsidR="004400BA" w:rsidRDefault="004400BA" w:rsidP="004400BA">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5D94562" w14:textId="77777777" w:rsidR="004400BA" w:rsidRDefault="004400BA" w:rsidP="004400BA">
      <w:pPr>
        <w:numPr>
          <w:ilvl w:val="1"/>
          <w:numId w:val="1"/>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B47708E" w14:textId="77777777" w:rsidR="004400BA" w:rsidRDefault="004400BA" w:rsidP="004400BA">
      <w:pPr>
        <w:numPr>
          <w:ilvl w:val="1"/>
          <w:numId w:val="1"/>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0EB5DB05" w14:textId="3E3B5954"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lastRenderedPageBreak/>
        <w:t>di aver preso conoscenza delle condizioni locali, della viabilità d'accesso, di aver verificato le capacità e le disponibilità, compatibili con i tempi di esecuzione previsti, delle cave eventualmente necessarie e delle discariche autorizzate e di aver formulato l'offerta tenendo conto di tutte le circostanze generali e particolari che possono influire sulla determinazione dei prezzi offerti nonché degli oneri previsti per il piano di sicurezza, sulle condizioni contrattuali e sull'esecuzione dei lavori, di aver giudicato i lavori stessi realizzabili, gli elaborati progettuali adeguati ed i prezzi nel loro complesso remunerativi e tali da consentire il ribasso offerto;</w:t>
      </w:r>
    </w:p>
    <w:p w14:paraId="71A003B7"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22BB6676"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0A5694C3"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bando e del disciplinare di gara, in tutte le loro parti, e di accettare tutte le condizioni e prescrizioni contenute nei sopra citati atti;</w:t>
      </w:r>
    </w:p>
    <w:p w14:paraId="3695B2CA"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bCs/>
          <w:kern w:val="2"/>
          <w:sz w:val="20"/>
          <w:szCs w:val="20"/>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7F8C0D5"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(o della scadenza intermedia nel caso di partecipazione da parte di un consorzio) della certificazione SOA posseduta;</w:t>
      </w:r>
    </w:p>
    <w:p w14:paraId="0D0A6FDE" w14:textId="77777777" w:rsidR="004400BA" w:rsidRDefault="004400BA" w:rsidP="004400BA">
      <w:pPr>
        <w:suppressAutoHyphens/>
        <w:spacing w:before="119"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64724BDF"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(o della scadenza intermedia nel caso di partecipazione da parte di un consorzio) della certificazione SOA posseduta, ma l'impresa ha richiesto la verifica in data ________________;</w:t>
      </w:r>
    </w:p>
    <w:p w14:paraId="0FD59B02" w14:textId="77777777" w:rsidR="004400BA" w:rsidRDefault="004400BA" w:rsidP="004400BA">
      <w:pPr>
        <w:suppressAutoHyphens/>
        <w:spacing w:before="119" w:after="0" w:line="240" w:lineRule="auto"/>
        <w:jc w:val="center"/>
        <w:rPr>
          <w:rFonts w:ascii="Tahoma" w:eastAsia="Times New Roman" w:hAnsi="Tahoma" w:cs="Tahoma"/>
          <w:b/>
          <w:bCs/>
          <w:kern w:val="2"/>
          <w:sz w:val="20"/>
          <w:szCs w:val="20"/>
          <w:lang w:eastAsia="ar-SA"/>
        </w:rPr>
      </w:pPr>
      <w:r>
        <w:rPr>
          <w:rFonts w:ascii="Tahoma" w:eastAsia="Times New Roman" w:hAnsi="Tahoma" w:cs="Tahoma"/>
          <w:b/>
          <w:i/>
          <w:iCs/>
          <w:kern w:val="2"/>
          <w:sz w:val="20"/>
          <w:szCs w:val="20"/>
          <w:lang w:eastAsia="ar-SA"/>
        </w:rPr>
        <w:t>e, inoltre:</w:t>
      </w:r>
    </w:p>
    <w:p w14:paraId="10A84BE9" w14:textId="77777777" w:rsidR="004400BA" w:rsidRDefault="004400BA" w:rsidP="004400BA">
      <w:pPr>
        <w:numPr>
          <w:ilvl w:val="1"/>
          <w:numId w:val="2"/>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2374D541" w14:textId="77777777" w:rsidR="004400BA" w:rsidRDefault="004400BA" w:rsidP="004400BA">
      <w:pPr>
        <w:suppressAutoHyphens/>
        <w:spacing w:after="0" w:line="240" w:lineRule="auto"/>
        <w:jc w:val="center"/>
        <w:rPr>
          <w:rFonts w:ascii="Tahoma" w:eastAsia="Times New Roman" w:hAnsi="Tahoma" w:cs="Tahoma"/>
          <w:bCs/>
          <w:kern w:val="2"/>
          <w:sz w:val="20"/>
          <w:szCs w:val="20"/>
          <w:lang w:eastAsia="ar-SA"/>
        </w:rPr>
      </w:pPr>
      <w:r>
        <w:rPr>
          <w:rFonts w:ascii="Tahoma" w:eastAsia="Times New Roman" w:hAnsi="Tahoma" w:cs="Tahoma"/>
          <w:i/>
          <w:iCs/>
          <w:kern w:val="2"/>
          <w:sz w:val="20"/>
          <w:szCs w:val="20"/>
          <w:lang w:eastAsia="ar-SA"/>
        </w:rPr>
        <w:t>oppure</w:t>
      </w:r>
    </w:p>
    <w:p w14:paraId="5425ED83" w14:textId="77777777" w:rsidR="004400BA" w:rsidRDefault="004400BA" w:rsidP="004400BA">
      <w:pPr>
        <w:numPr>
          <w:ilvl w:val="1"/>
          <w:numId w:val="2"/>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_______________________________ per ottenere il rinnovo dell’attestazione in questione, ai sensi di quanto previsto dall’art. 76, comma 5, secondo periodo, del D.P.R. 207/2010</w:t>
      </w:r>
      <w:r w:rsidRPr="0094718F">
        <w:rPr>
          <w:rFonts w:ascii="Tahoma" w:eastAsia="Times New Roman" w:hAnsi="Tahoma" w:cs="Tahoma"/>
          <w:bCs/>
          <w:kern w:val="2"/>
          <w:sz w:val="20"/>
          <w:szCs w:val="20"/>
          <w:u w:val="single"/>
          <w:lang w:eastAsia="ar-SA"/>
        </w:rPr>
        <w:t>,</w:t>
      </w:r>
      <w:r w:rsidRPr="0094718F">
        <w:rPr>
          <w:u w:val="single"/>
        </w:rPr>
        <w:t xml:space="preserve"> </w:t>
      </w:r>
      <w:r w:rsidRPr="0094718F">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4E159EB2"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nella causa di esclusione prevista dall’art. 80, comma 1, lettera b-bis del codice dei contratti pubblici;</w:t>
      </w:r>
    </w:p>
    <w:p w14:paraId="2E75DFEB" w14:textId="77777777" w:rsidR="004400BA" w:rsidRPr="00E16D02"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non essere stato sottoposto a fallimento, di non trovarsi in stato di liquidazione coatta o di concordato preventivo, e che non è in corso un procedimento per la dichiarazione di una di tali situazioni nei propri </w:t>
      </w:r>
      <w:r w:rsidRPr="00E16D02">
        <w:rPr>
          <w:rFonts w:ascii="Tahoma" w:eastAsia="Times New Roman" w:hAnsi="Tahoma" w:cs="Tahoma"/>
          <w:color w:val="000000"/>
          <w:sz w:val="20"/>
          <w:szCs w:val="20"/>
          <w:lang w:eastAsia="ar-SA"/>
        </w:rPr>
        <w:t>confronti;</w:t>
      </w:r>
    </w:p>
    <w:p w14:paraId="7B1BF842" w14:textId="77777777" w:rsidR="004400BA" w:rsidRPr="00E16D02" w:rsidRDefault="004400BA" w:rsidP="004400BA">
      <w:pPr>
        <w:numPr>
          <w:ilvl w:val="0"/>
          <w:numId w:val="1"/>
        </w:numPr>
        <w:suppressAutoHyphens/>
        <w:spacing w:before="120" w:after="120" w:line="240" w:lineRule="auto"/>
        <w:jc w:val="both"/>
        <w:rPr>
          <w:rFonts w:ascii="Tahoma" w:eastAsia="Times New Roman" w:hAnsi="Tahoma" w:cs="Tahoma"/>
          <w:color w:val="000000"/>
          <w:sz w:val="20"/>
          <w:szCs w:val="20"/>
          <w:lang w:eastAsia="ar-SA"/>
        </w:rPr>
      </w:pPr>
      <w:r w:rsidRPr="00E16D02">
        <w:rPr>
          <w:rFonts w:ascii="Tahoma" w:eastAsia="Times New Roman" w:hAnsi="Tahoma" w:cs="Tahoma"/>
          <w:color w:val="000000"/>
          <w:sz w:val="20"/>
          <w:szCs w:val="20"/>
          <w:lang w:eastAsia="ar-SA"/>
        </w:rPr>
        <w:t>di essere consapevole che una violazione grave agli obblighi relativi al pagamento delle imposte e tasse e dei contributi previdenziali può comportare causa di esclusione dalla gara anche qualora tale mancato pagamento non sia definitivamente accertato, ai sensi del disposto del quarto comma dell'art. 80 del Codice dei contratti pubblici, novellato dalla Legge 120/2020;</w:t>
      </w:r>
    </w:p>
    <w:p w14:paraId="7B0FFD86"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incorrere nelle cause di esclusione di cui all’art. 80, comma 5, lettere f-bis e f-ter del Codice dei contratti pubblici;</w:t>
      </w:r>
    </w:p>
    <w:p w14:paraId="2F7E0022"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tentato di influenzare indebitamente il processo decisionale della stazione appaltante o di ottenere informazioni riservate a fini di proprio vantaggio;</w:t>
      </w:r>
    </w:p>
    <w:p w14:paraId="0FD7D4F9" w14:textId="77777777" w:rsidR="004400BA" w:rsidRDefault="004400BA" w:rsidP="00CD7E1B">
      <w:pPr>
        <w:numPr>
          <w:ilvl w:val="0"/>
          <w:numId w:val="1"/>
        </w:numPr>
        <w:suppressAutoHyphens/>
        <w:spacing w:before="120" w:after="120" w:line="240" w:lineRule="auto"/>
        <w:ind w:left="363"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fornito, anche per negligenza, informazioni false o fuorvianti suscettibili di influenzare le decisioni sull'esclusione, la selezione o l'aggiudicazione,</w:t>
      </w:r>
    </w:p>
    <w:p w14:paraId="661205E8" w14:textId="77777777" w:rsidR="004400BA" w:rsidRDefault="004400BA" w:rsidP="004400BA">
      <w:pPr>
        <w:numPr>
          <w:ilvl w:val="0"/>
          <w:numId w:val="1"/>
        </w:numPr>
        <w:suppressAutoHyphens/>
        <w:spacing w:before="120" w:after="120" w:line="240" w:lineRule="auto"/>
        <w:ind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5C7990FD"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commesso alcun inadempimento nei confronti di uno o più subappaltatori;</w:t>
      </w:r>
    </w:p>
    <w:p w14:paraId="3EBC0F7B" w14:textId="77777777" w:rsidR="004400BA" w:rsidRDefault="004400BA" w:rsidP="004400BA">
      <w:pPr>
        <w:numPr>
          <w:ilvl w:val="0"/>
          <w:numId w:val="1"/>
        </w:numPr>
        <w:suppressAutoHyphens/>
        <w:spacing w:after="0" w:line="240" w:lineRule="auto"/>
        <w:ind w:left="357" w:hanging="357"/>
        <w:contextualSpacing/>
        <w:jc w:val="both"/>
        <w:rPr>
          <w:rFonts w:ascii="Tahoma" w:eastAsia="Times New Roman" w:hAnsi="Tahoma" w:cs="Tahoma"/>
          <w:i/>
          <w:color w:val="000000"/>
          <w:sz w:val="20"/>
          <w:szCs w:val="20"/>
          <w:lang w:eastAsia="ar-SA"/>
        </w:rPr>
      </w:pPr>
      <w:r>
        <w:rPr>
          <w:rFonts w:ascii="Tahoma" w:eastAsia="Times New Roman" w:hAnsi="Tahoma" w:cs="Tahoma"/>
          <w:color w:val="000000"/>
          <w:sz w:val="20"/>
          <w:szCs w:val="20"/>
          <w:lang w:eastAsia="ar-SA"/>
        </w:rPr>
        <w:lastRenderedPageBreak/>
        <w:t>di non aver dimostrato significative o persistenti carenze nell'esecuzione di un precedente contratto di appalto o di concessione che ne hanno causato la risoluzione per inadempimento ovvero la condanna al risarcimento del danno o altre sanzioni comparabili;</w:t>
      </w:r>
    </w:p>
    <w:p w14:paraId="4FAAA5CB" w14:textId="77777777" w:rsidR="004400BA" w:rsidRDefault="004400BA" w:rsidP="004400BA">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60A73ADB" w14:textId="77777777" w:rsidR="004400BA" w:rsidRDefault="004400BA" w:rsidP="004400BA">
      <w:pPr>
        <w:numPr>
          <w:ilvl w:val="0"/>
          <w:numId w:val="1"/>
        </w:numPr>
        <w:suppressAutoHyphens/>
        <w:spacing w:before="120" w:after="120" w:line="240" w:lineRule="auto"/>
        <w:ind w:left="357"/>
        <w:jc w:val="both"/>
        <w:rPr>
          <w:rFonts w:ascii="Tahoma" w:eastAsia="Times New Roman" w:hAnsi="Tahoma" w:cs="Tahoma"/>
          <w:color w:val="000000"/>
          <w:sz w:val="20"/>
          <w:szCs w:val="20"/>
          <w:shd w:val="clear" w:color="auto" w:fill="FFFF00"/>
          <w:lang w:eastAsia="ar-SA"/>
        </w:rPr>
      </w:pPr>
      <w:r>
        <w:rPr>
          <w:rFonts w:ascii="Tahoma" w:eastAsia="Times New Roman" w:hAnsi="Tahoma" w:cs="Tahoma"/>
          <w:color w:val="000000"/>
          <w:sz w:val="20"/>
          <w:szCs w:val="20"/>
          <w:lang w:eastAsia="ar-SA"/>
        </w:rPr>
        <w:t>di aver dimostrato le seguenti carenze nell’esecuzione di un precedente contratto di appalto o di concessione, che ne hanno causato la risoluzione per inadempimento ovvero la condanna al risarcimento del danno o altre sanzioni (</w:t>
      </w:r>
      <w:r>
        <w:rPr>
          <w:rFonts w:ascii="Tahoma" w:eastAsia="Times New Roman" w:hAnsi="Tahoma" w:cs="Tahoma"/>
          <w:b/>
          <w:i/>
          <w:color w:val="000000"/>
          <w:sz w:val="20"/>
          <w:szCs w:val="20"/>
          <w:lang w:eastAsia="ar-SA"/>
        </w:rPr>
        <w:t>sarà la stazione appaltante a valutare se i fatti dichiarati costituiscano o meno causa di esclusione</w:t>
      </w:r>
      <w:r>
        <w:rPr>
          <w:rFonts w:ascii="Tahoma" w:eastAsia="Times New Roman" w:hAnsi="Tahoma" w:cs="Tahoma"/>
          <w:color w:val="000000"/>
          <w:sz w:val="20"/>
          <w:szCs w:val="20"/>
          <w:lang w:eastAsia="ar-SA"/>
        </w:rPr>
        <w:t>):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A89C2CC" w14:textId="77777777" w:rsidR="004400BA" w:rsidRDefault="004400BA" w:rsidP="004400BA">
      <w:pPr>
        <w:numPr>
          <w:ilvl w:val="0"/>
          <w:numId w:val="3"/>
        </w:numPr>
        <w:suppressAutoHyphens/>
        <w:spacing w:after="0" w:line="240" w:lineRule="auto"/>
        <w:ind w:left="357"/>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essere in regola</w:t>
      </w:r>
      <w:r>
        <w:rPr>
          <w:rFonts w:ascii="Tahoma" w:eastAsia="Times New Roman" w:hAnsi="Tahoma" w:cs="Tahoma"/>
          <w:color w:val="000000"/>
          <w:sz w:val="20"/>
          <w:szCs w:val="20"/>
          <w:lang w:eastAsia="ar-SA"/>
        </w:rPr>
        <w:t xml:space="preserve"> con le norme che disciplinano il diritto al lavoro dei disabili di cui alla legge 12 marzo 1999, n. 68 (Articolo 80, comma 5, lettera i)</w:t>
      </w:r>
    </w:p>
    <w:p w14:paraId="6202BA6A" w14:textId="77777777" w:rsidR="004400BA" w:rsidRDefault="004400BA" w:rsidP="004400BA">
      <w:pPr>
        <w:suppressAutoHyphens/>
        <w:spacing w:after="0" w:line="240" w:lineRule="auto"/>
        <w:ind w:left="357"/>
        <w:contextualSpacing/>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p>
    <w:p w14:paraId="1DB65817" w14:textId="77777777" w:rsidR="004400BA" w:rsidRDefault="004400BA" w:rsidP="004400BA">
      <w:pPr>
        <w:numPr>
          <w:ilvl w:val="0"/>
          <w:numId w:val="3"/>
        </w:numPr>
        <w:suppressAutoHyphens/>
        <w:spacing w:before="180" w:after="18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di non essere tenuto</w:t>
      </w:r>
      <w:r>
        <w:rPr>
          <w:rFonts w:ascii="Tahoma" w:eastAsia="Times New Roman" w:hAnsi="Tahoma" w:cs="Tahoma"/>
          <w:color w:val="000000"/>
          <w:sz w:val="20"/>
          <w:szCs w:val="20"/>
          <w:lang w:eastAsia="ar-SA"/>
        </w:rPr>
        <w:t xml:space="preserve"> alle norme che disciplinano il diritto al lavoro dei disabili di cui alla legge 12 marzo 1999, n. 68 perché_____________________________________________________________________;</w:t>
      </w:r>
    </w:p>
    <w:p w14:paraId="775E2D30" w14:textId="0E0C96BB" w:rsidR="004400BA" w:rsidRPr="00CD7E1B" w:rsidRDefault="004400BA" w:rsidP="00CD7E1B">
      <w:pPr>
        <w:numPr>
          <w:ilvl w:val="0"/>
          <w:numId w:val="3"/>
        </w:numPr>
        <w:suppressAutoHyphens/>
        <w:spacing w:before="120" w:after="120" w:line="240" w:lineRule="auto"/>
        <w:ind w:left="357" w:hanging="357"/>
        <w:jc w:val="both"/>
        <w:rPr>
          <w:rFonts w:ascii="Calibri" w:eastAsia="Calibri" w:hAnsi="Calibri" w:cs="Times New Roman"/>
          <w:u w:val="single"/>
          <w:lang w:eastAsia="ar-SA"/>
        </w:rPr>
      </w:pPr>
      <w:r w:rsidRPr="00E16D02">
        <w:rPr>
          <w:rFonts w:ascii="Tahoma" w:eastAsia="Times New Roman" w:hAnsi="Tahoma" w:cs="Tahoma"/>
          <w:color w:val="000000"/>
          <w:sz w:val="20"/>
          <w:szCs w:val="20"/>
          <w:lang w:eastAsia="ar-SA"/>
        </w:rPr>
        <w:t>di essere edotto degli obblighi derivanti dal Codice di Comportamento dei dipendenti pubblici</w:t>
      </w:r>
      <w:r w:rsidR="00F25F48">
        <w:rPr>
          <w:rFonts w:ascii="Tahoma" w:eastAsia="Times New Roman" w:hAnsi="Tahoma" w:cs="Tahoma"/>
          <w:color w:val="000000"/>
          <w:sz w:val="20"/>
          <w:szCs w:val="20"/>
          <w:lang w:eastAsia="ar-SA"/>
        </w:rPr>
        <w:t xml:space="preserve">, approvato con Delibera di Giunta Comunale n. 3 del 30 gennaio 2016 </w:t>
      </w:r>
      <w:r w:rsidRPr="00E16D02">
        <w:rPr>
          <w:rFonts w:ascii="Tahoma" w:eastAsia="Times New Roman" w:hAnsi="Tahoma" w:cs="Tahoma"/>
          <w:color w:val="000000"/>
          <w:sz w:val="20"/>
          <w:szCs w:val="20"/>
          <w:lang w:eastAsia="ar-SA"/>
        </w:rPr>
        <w:t xml:space="preserve">e si impegna, in caso di aggiudicazione, a osservare e far osservare ai propri dipendenti e collaboratori il suddetto codice, </w:t>
      </w:r>
      <w:r w:rsidRPr="00E16D02">
        <w:rPr>
          <w:rFonts w:ascii="Tahoma" w:eastAsia="Times New Roman" w:hAnsi="Tahoma" w:cs="Tahoma"/>
          <w:color w:val="000000"/>
          <w:sz w:val="20"/>
          <w:szCs w:val="20"/>
          <w:u w:val="single"/>
          <w:lang w:eastAsia="ar-SA"/>
        </w:rPr>
        <w:t>pena la risoluzione del contratto</w:t>
      </w:r>
      <w:r w:rsidRPr="00E16D02">
        <w:rPr>
          <w:rFonts w:ascii="Tahoma" w:eastAsia="Times New Roman" w:hAnsi="Tahoma" w:cs="Tahoma"/>
          <w:color w:val="000000"/>
          <w:sz w:val="20"/>
          <w:szCs w:val="20"/>
          <w:lang w:eastAsia="ar-SA"/>
        </w:rPr>
        <w:t>;</w:t>
      </w:r>
    </w:p>
    <w:p w14:paraId="71B9DA7D" w14:textId="77777777" w:rsidR="00CD7E1B" w:rsidRDefault="00CD7E1B" w:rsidP="00CD7E1B">
      <w:pPr>
        <w:numPr>
          <w:ilvl w:val="0"/>
          <w:numId w:val="3"/>
        </w:numPr>
        <w:spacing w:after="120"/>
        <w:ind w:left="357" w:hanging="357"/>
        <w:jc w:val="both"/>
        <w:rPr>
          <w:rFonts w:ascii="Tahoma" w:eastAsia="Times New Roman" w:hAnsi="Tahoma" w:cs="Tahoma"/>
          <w:color w:val="000000"/>
          <w:sz w:val="20"/>
          <w:szCs w:val="20"/>
          <w:lang w:eastAsia="ar-SA" w:bidi="it-IT"/>
        </w:rPr>
      </w:pPr>
      <w:r>
        <w:rPr>
          <w:rFonts w:ascii="Tahoma" w:eastAsia="Times New Roman" w:hAnsi="Tahoma" w:cs="Tahoma"/>
          <w:color w:val="000000"/>
          <w:sz w:val="20"/>
          <w:szCs w:val="20"/>
          <w:lang w:eastAsia="ar-SA"/>
        </w:rPr>
        <w:t xml:space="preserve">di essere iscritto, ai sensi del comma 52 dell’art. 1 della Legge 190/2012, nell’elenco dei fornitori e prestatori di servizi non soggetti a tentativo di infiltrazione mafiosa (c.d. </w:t>
      </w:r>
      <w:r>
        <w:rPr>
          <w:rFonts w:ascii="Tahoma" w:eastAsia="Times New Roman" w:hAnsi="Tahoma" w:cs="Tahoma"/>
          <w:i/>
          <w:color w:val="000000"/>
          <w:sz w:val="20"/>
          <w:szCs w:val="20"/>
          <w:lang w:eastAsia="ar-SA"/>
        </w:rPr>
        <w:t>white list</w:t>
      </w:r>
      <w:r>
        <w:rPr>
          <w:rFonts w:ascii="Tahoma" w:eastAsia="Times New Roman" w:hAnsi="Tahoma" w:cs="Tahoma"/>
          <w:color w:val="000000"/>
          <w:sz w:val="20"/>
          <w:szCs w:val="20"/>
          <w:lang w:eastAsia="ar-SA"/>
        </w:rPr>
        <w:t>), istituito presso la Prefettura della Provincia di _______________________________________________ (indicare la Prefettura della Provincia in cui ha sede legale la ditta subappaltatrice) oppure, in alternativa, aver presentato domanda di iscrizione in tale elenco, indicando la data ___________________ (ai sensi del comma 52 dell’art. 1 della Legge 190/2012 e della Circolare Ministero dell’Interno prot. 25954 del 23/03/2016 e DPCM 18/04/2013, come aggiornato dal DPCM 24/11/2016) (l</w:t>
      </w:r>
      <w:r>
        <w:rPr>
          <w:rFonts w:ascii="Tahoma" w:eastAsia="Times New Roman" w:hAnsi="Tahoma" w:cs="Tahoma"/>
          <w:b/>
          <w:i/>
          <w:color w:val="000000"/>
          <w:sz w:val="20"/>
          <w:szCs w:val="20"/>
          <w:lang w:eastAsia="ar-SA" w:bidi="it-IT"/>
        </w:rPr>
        <w:t xml:space="preserve">’iscrizione è necessaria per l’operatore che assume le attività maggiormente esposte al rischio di infiltrazione mafiosa; </w:t>
      </w:r>
      <w:r>
        <w:rPr>
          <w:rFonts w:ascii="Tahoma" w:eastAsia="Times New Roman" w:hAnsi="Tahoma" w:cs="Tahoma"/>
          <w:b/>
          <w:i/>
          <w:color w:val="000000"/>
          <w:sz w:val="20"/>
          <w:szCs w:val="20"/>
          <w:u w:val="single"/>
          <w:lang w:eastAsia="ar-SA" w:bidi="it-IT"/>
        </w:rPr>
        <w:t>in alternativa, l’operatore economico concorrente dovrà dichiarare la volontà di ricorrere al subappalto ad operatore economico iscritto nella white list per quelle attività (senza necessità di dichiararne i nominativi in sede di gara</w:t>
      </w:r>
      <w:r>
        <w:rPr>
          <w:rFonts w:ascii="Tahoma" w:eastAsia="Times New Roman" w:hAnsi="Tahoma" w:cs="Tahoma"/>
          <w:b/>
          <w:i/>
          <w:color w:val="000000"/>
          <w:sz w:val="20"/>
          <w:szCs w:val="20"/>
          <w:lang w:eastAsia="ar-SA" w:bidi="it-IT"/>
        </w:rPr>
        <w:t>);</w:t>
      </w:r>
    </w:p>
    <w:p w14:paraId="50266A68" w14:textId="7B3D1988" w:rsidR="00CD7E1B" w:rsidRDefault="00CD7E1B" w:rsidP="00CD7E1B">
      <w:pPr>
        <w:pStyle w:val="Paragrafoelenco"/>
        <w:numPr>
          <w:ilvl w:val="0"/>
          <w:numId w:val="3"/>
        </w:numPr>
        <w:spacing w:after="120" w:line="257" w:lineRule="auto"/>
        <w:ind w:left="357" w:hanging="357"/>
        <w:contextualSpacing w:val="0"/>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ai «Materiali usati nel cantiere» nel paragrafo 2.4 dei CAM EDILIZIA approvati con Decreto MATTM 11/10/2017;</w:t>
      </w:r>
    </w:p>
    <w:p w14:paraId="72097FD2" w14:textId="4F325CDC" w:rsidR="00CD7E1B" w:rsidRPr="00CD7E1B" w:rsidRDefault="00CD7E1B" w:rsidP="00CD7E1B">
      <w:pPr>
        <w:pStyle w:val="Paragrafoelenco"/>
        <w:numPr>
          <w:ilvl w:val="0"/>
          <w:numId w:val="3"/>
        </w:numPr>
        <w:spacing w:after="120" w:line="259" w:lineRule="auto"/>
        <w:ind w:left="357" w:hanging="357"/>
        <w:contextualSpacing w:val="0"/>
        <w:jc w:val="both"/>
        <w:rPr>
          <w:rFonts w:ascii="Tahoma" w:eastAsia="Times New Roman" w:hAnsi="Tahoma" w:cs="Tahoma"/>
          <w:color w:val="000000"/>
          <w:sz w:val="20"/>
          <w:szCs w:val="20"/>
          <w:lang w:eastAsia="ar-SA" w:bidi="it-IT"/>
        </w:rPr>
      </w:pPr>
      <w:r w:rsidRPr="00D822AF">
        <w:rPr>
          <w:rFonts w:ascii="Tahoma" w:eastAsia="Times New Roman" w:hAnsi="Tahoma" w:cs="Tahoma"/>
          <w:color w:val="000000"/>
          <w:sz w:val="20"/>
          <w:szCs w:val="20"/>
          <w:lang w:eastAsia="ar-SA" w:bidi="it-IT"/>
        </w:rPr>
        <w:t>di impegnarsi a presentare quanto richiesto come condizione per la stipulazione del contratto in ordine a</w:t>
      </w:r>
      <w:r>
        <w:rPr>
          <w:rFonts w:ascii="Tahoma" w:eastAsia="Times New Roman" w:hAnsi="Tahoma" w:cs="Tahoma"/>
          <w:color w:val="000000"/>
          <w:sz w:val="20"/>
          <w:szCs w:val="20"/>
          <w:lang w:eastAsia="ar-SA" w:bidi="it-IT"/>
        </w:rPr>
        <w:t>ll’</w:t>
      </w:r>
      <w:r w:rsidRPr="00D822AF">
        <w:rPr>
          <w:rFonts w:ascii="Tahoma" w:eastAsia="Times New Roman" w:hAnsi="Tahoma" w:cs="Tahoma"/>
          <w:color w:val="000000"/>
          <w:sz w:val="20"/>
          <w:szCs w:val="20"/>
          <w:lang w:eastAsia="ar-SA" w:bidi="it-IT"/>
        </w:rPr>
        <w:t>«Emissione dei materiali» nel paragrafo 2.</w:t>
      </w:r>
      <w:r>
        <w:rPr>
          <w:rFonts w:ascii="Tahoma" w:eastAsia="Times New Roman" w:hAnsi="Tahoma" w:cs="Tahoma"/>
          <w:color w:val="000000"/>
          <w:sz w:val="20"/>
          <w:szCs w:val="20"/>
          <w:lang w:eastAsia="ar-SA" w:bidi="it-IT"/>
        </w:rPr>
        <w:t>3.5.5</w:t>
      </w:r>
      <w:r w:rsidRPr="00D822AF">
        <w:rPr>
          <w:rFonts w:ascii="Tahoma" w:eastAsia="Times New Roman" w:hAnsi="Tahoma" w:cs="Tahoma"/>
          <w:color w:val="000000"/>
          <w:sz w:val="20"/>
          <w:szCs w:val="20"/>
          <w:lang w:eastAsia="ar-SA" w:bidi="it-IT"/>
        </w:rPr>
        <w:t xml:space="preserve"> dei CAM EDILIZIA approvati con Decreto MATTM 11/10/2017;</w:t>
      </w:r>
    </w:p>
    <w:p w14:paraId="1C6345FC" w14:textId="584A4E8C" w:rsidR="00CD7E1B" w:rsidRPr="002A12D7" w:rsidRDefault="00CD7E1B" w:rsidP="002A12D7">
      <w:pPr>
        <w:numPr>
          <w:ilvl w:val="0"/>
          <w:numId w:val="3"/>
        </w:numPr>
        <w:suppressAutoHyphens/>
        <w:spacing w:after="120" w:line="240" w:lineRule="auto"/>
        <w:ind w:left="357" w:hanging="357"/>
        <w:jc w:val="both"/>
        <w:rPr>
          <w:rFonts w:ascii="Tahoma" w:eastAsia="Times New Roman" w:hAnsi="Tahoma" w:cs="Tahoma"/>
          <w:color w:val="000000"/>
          <w:sz w:val="20"/>
          <w:szCs w:val="20"/>
          <w:lang w:eastAsia="ar-SA" w:bidi="it-IT"/>
        </w:rPr>
      </w:pPr>
      <w:r w:rsidRPr="00D822AF">
        <w:rPr>
          <w:rFonts w:ascii="Tahoma" w:eastAsia="Times New Roman" w:hAnsi="Tahoma" w:cs="Tahoma"/>
          <w:color w:val="000000"/>
          <w:sz w:val="20"/>
          <w:szCs w:val="20"/>
          <w:lang w:eastAsia="ar-SA" w:bidi="it-IT"/>
        </w:rPr>
        <w:t xml:space="preserve">di impegnarsi a presentare quanto richiesto come condizione per la stipulazione del contratto, qualora aggiudicatario, in ordine </w:t>
      </w:r>
      <w:r>
        <w:rPr>
          <w:rFonts w:ascii="Tahoma" w:eastAsia="Times New Roman" w:hAnsi="Tahoma" w:cs="Tahoma"/>
          <w:color w:val="000000"/>
          <w:sz w:val="20"/>
          <w:szCs w:val="20"/>
          <w:lang w:eastAsia="ar-SA" w:bidi="it-IT"/>
        </w:rPr>
        <w:t xml:space="preserve">a </w:t>
      </w:r>
      <w:r w:rsidRPr="00D822AF">
        <w:rPr>
          <w:rFonts w:ascii="Tahoma" w:eastAsia="Times New Roman" w:hAnsi="Tahoma" w:cs="Tahoma"/>
          <w:color w:val="000000"/>
          <w:sz w:val="20"/>
          <w:szCs w:val="20"/>
          <w:lang w:eastAsia="ar-SA" w:bidi="it-IT"/>
        </w:rPr>
        <w:t xml:space="preserve">«Demolizioni e </w:t>
      </w:r>
      <w:r w:rsidRPr="00414B81">
        <w:rPr>
          <w:rFonts w:ascii="Tahoma" w:eastAsia="Times New Roman" w:hAnsi="Tahoma" w:cs="Tahoma"/>
          <w:color w:val="000000"/>
          <w:sz w:val="20"/>
          <w:szCs w:val="20"/>
          <w:lang w:eastAsia="ar-SA" w:bidi="it-IT"/>
        </w:rPr>
        <w:t>rimozione dei materiali»» indicati al paragrafo 2.5.1 dei CAM EDILIZIA approvati con Decreto MATTM 11/10/2017 (verifica precedente alla demolizione che contenga le informazioni specificate nel criterio, allegare un piano di demolizione e recupero e una sottoscrizione di impegno a trattare i rifiuti da demolizione o a conferirli ad un impianto autorizzato al recupero dei rifiuti);</w:t>
      </w:r>
    </w:p>
    <w:p w14:paraId="6CCD0507" w14:textId="77777777" w:rsidR="00CD7E1B" w:rsidRDefault="00CD7E1B" w:rsidP="00CD7E1B">
      <w:pPr>
        <w:numPr>
          <w:ilvl w:val="0"/>
          <w:numId w:val="3"/>
        </w:numPr>
        <w:suppressAutoHyphens/>
        <w:spacing w:line="252" w:lineRule="auto"/>
        <w:contextualSpacing/>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alle «Prestazioni ambientali» </w:t>
      </w:r>
      <w:bookmarkStart w:id="3" w:name="_Hlk116029616"/>
      <w:r>
        <w:rPr>
          <w:rFonts w:ascii="Tahoma" w:eastAsia="Times New Roman" w:hAnsi="Tahoma" w:cs="Tahoma"/>
          <w:color w:val="000000"/>
          <w:sz w:val="20"/>
          <w:szCs w:val="20"/>
          <w:lang w:eastAsia="ar-SA"/>
        </w:rPr>
        <w:t xml:space="preserve">indicati al paragrafo 2.5.3 dei CAM EDILIZIA approvati con Decreto MATTM 11/10/2017 </w:t>
      </w:r>
      <w:bookmarkEnd w:id="3"/>
      <w:r>
        <w:rPr>
          <w:rFonts w:ascii="Tahoma" w:eastAsia="Times New Roman" w:hAnsi="Tahoma" w:cs="Tahoma"/>
          <w:color w:val="000000"/>
          <w:sz w:val="20"/>
          <w:szCs w:val="20"/>
          <w:lang w:eastAsia="ar-SA"/>
        </w:rPr>
        <w:t xml:space="preserve">(relazione tecnica nella quale siano evidenziate le azioni previste per la riduzione dell’impatto ambientale nel rispetto dei criteri; piano per il controllo dell’erosione </w:t>
      </w:r>
      <w:r>
        <w:rPr>
          <w:rFonts w:ascii="Tahoma" w:eastAsia="Times New Roman" w:hAnsi="Tahoma" w:cs="Tahoma"/>
          <w:color w:val="000000"/>
          <w:sz w:val="20"/>
          <w:szCs w:val="20"/>
          <w:lang w:eastAsia="ar-SA"/>
        </w:rPr>
        <w:lastRenderedPageBreak/>
        <w:t>e della sedimentazione per le attività di cantiere; piano per la gestione dei rifiuti da cantiere e per il controllo della qualità dell’aria e dell’inquinamento acustico durante le attività di cantiere);</w:t>
      </w:r>
    </w:p>
    <w:p w14:paraId="1046C7F2" w14:textId="41E83D5E" w:rsidR="00CD7E1B" w:rsidRDefault="00CD7E1B" w:rsidP="005402BB">
      <w:pPr>
        <w:numPr>
          <w:ilvl w:val="0"/>
          <w:numId w:val="3"/>
        </w:numPr>
        <w:suppressAutoHyphens/>
        <w:spacing w:after="120" w:line="252" w:lineRule="auto"/>
        <w:ind w:left="357" w:hanging="357"/>
        <w:jc w:val="both"/>
        <w:rPr>
          <w:rFonts w:ascii="Tahoma" w:eastAsia="Times New Roman" w:hAnsi="Tahoma" w:cs="Tahoma"/>
          <w:color w:val="000000"/>
          <w:sz w:val="20"/>
          <w:szCs w:val="20"/>
          <w:lang w:eastAsia="ar-SA"/>
        </w:rPr>
      </w:pPr>
      <w:bookmarkStart w:id="4" w:name="_Hlk116029551"/>
      <w:r>
        <w:rPr>
          <w:rFonts w:ascii="Tahoma" w:eastAsia="Times New Roman" w:hAnsi="Tahoma" w:cs="Tahoma"/>
          <w:color w:val="000000"/>
          <w:sz w:val="20"/>
          <w:szCs w:val="20"/>
          <w:lang w:eastAsia="ar-SA"/>
        </w:rPr>
        <w:t xml:space="preserve">di impegnarsi a presentare quanto richiesto come condizione per la stipulazione del contratto, qualora aggiudicatario, in ordine </w:t>
      </w:r>
      <w:bookmarkEnd w:id="4"/>
      <w:r>
        <w:rPr>
          <w:rFonts w:ascii="Tahoma" w:eastAsia="Times New Roman" w:hAnsi="Tahoma" w:cs="Tahoma"/>
          <w:color w:val="000000"/>
          <w:sz w:val="20"/>
          <w:szCs w:val="20"/>
          <w:lang w:eastAsia="ar-SA"/>
        </w:rPr>
        <w:t>al «Personale di cantiere» (idonea documentazione attestante la formazione del personale impiegato nel cantiere oggetto dell’appalto, quale ad esempio curriculum, diplomi, attestati, etc., secondo quanto prescritto dal paragrafo 2.5.4 dei CAM EDILIZIA approvati con Decreto MATTM 11/10/2017);</w:t>
      </w:r>
    </w:p>
    <w:p w14:paraId="05871492" w14:textId="31296307" w:rsidR="005402BB" w:rsidRPr="005402BB" w:rsidRDefault="005402BB" w:rsidP="005402BB">
      <w:pPr>
        <w:numPr>
          <w:ilvl w:val="0"/>
          <w:numId w:val="3"/>
        </w:numPr>
        <w:suppressAutoHyphens/>
        <w:spacing w:after="12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«Scavi e rinterri» nel paragrafo 2.5.5 dei CAM EDILIZIA approvati con Decreto MATTM 11/10/2017 (dichiarazione del legale rappresentante che attesti che tali prestazioni e requisiti dei materiali, dei componenti e delle lavorazioni prescritti saranno rispettati e documentati nel corso dell’attività di cantiere);</w:t>
      </w:r>
    </w:p>
    <w:p w14:paraId="41A54CA8" w14:textId="4814CC2A" w:rsidR="00CD7E1B" w:rsidRDefault="00CD7E1B" w:rsidP="00946DC6">
      <w:pPr>
        <w:numPr>
          <w:ilvl w:val="0"/>
          <w:numId w:val="3"/>
        </w:numPr>
        <w:suppressAutoHyphens/>
        <w:spacing w:after="12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in ordine alla «Clausola sociale» di cui al paragrafo 2.7.2 dei CAM EDILIZIA approvati con Decreto MATTM 11/10/2017 (l’appaltatore dovrà fornire il numero ed i nominativi dei lavoratori che intende utilizzare in cantiere, secondo le prescrizioni del. In caso di impiego di lavoratori interinali per brevi durate (meno di 60 giorni) l’offerente presenta i documenti probanti (attestati) relativi alla loro formazione in materia di salute e sicurezza sul lavoro (sia «generica» effettuata presso l’agenzia interinale sia «specifica», effettuata presso il cantiere/ azienda/ soggetto proponente e diversa a seconda del livello di rischio delle lavorazioni) secondo quanto previsto dall’Accordo Stato-Regioni del 21 dicembre 2011);</w:t>
      </w:r>
    </w:p>
    <w:p w14:paraId="60E94298" w14:textId="00ED302B" w:rsidR="00946DC6" w:rsidRDefault="00946DC6" w:rsidP="00946DC6">
      <w:pPr>
        <w:numPr>
          <w:ilvl w:val="0"/>
          <w:numId w:val="3"/>
        </w:numPr>
        <w:suppressAutoHyphens/>
        <w:spacing w:after="12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impegnarsi a presentare quanto richiesto come condizione per la stipulazione del contratto in ordine alle «Garanzie» di cui al paragrafo 2.7.3 dei CAM EDILIZIA approvati con Decreto MATTM 11/10/2017 (l’appaltatore dovrà presentare un certificato di garanzia e indicazioni relative alle procedure di manutenzione e posa in opera); </w:t>
      </w:r>
    </w:p>
    <w:p w14:paraId="7D7A9D52" w14:textId="77777777" w:rsidR="00CD7E1B" w:rsidRDefault="00CD7E1B" w:rsidP="00AB66A5">
      <w:pPr>
        <w:numPr>
          <w:ilvl w:val="0"/>
          <w:numId w:val="3"/>
        </w:numPr>
        <w:suppressAutoHyphens/>
        <w:spacing w:after="120" w:line="252"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impegnarsi a presentare quanto richiesto come condizione per la stipulazione del contratto, qualora aggiudicatario, in ordine a «Oli lubrificanti», dichiarazione del legale rappresentante che attesti la conformità degli oli lubrificanti che saranno utilizzati per i veicoli ed i macchinari di cantiere ai criteri esposti dal paragrafo 2.7.5 dei CAM EDILIZIA;</w:t>
      </w:r>
    </w:p>
    <w:p w14:paraId="1F026ABB" w14:textId="57131230" w:rsidR="00CD7E1B" w:rsidRPr="00AB66A5" w:rsidRDefault="00CD7E1B" w:rsidP="00AB66A5">
      <w:pPr>
        <w:pStyle w:val="Paragrafoelenco"/>
        <w:numPr>
          <w:ilvl w:val="0"/>
          <w:numId w:val="3"/>
        </w:numPr>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essere consapevole che, in caso di aggiudicazione dell’appalto, dovrà essere in possesso dell’abilitazione ad eseguire gli impianti, ai sensi del </w:t>
      </w:r>
      <w:proofErr w:type="spellStart"/>
      <w:r>
        <w:rPr>
          <w:rFonts w:ascii="Tahoma" w:eastAsia="Times New Roman" w:hAnsi="Tahoma" w:cs="Tahoma"/>
          <w:color w:val="000000"/>
          <w:sz w:val="20"/>
          <w:szCs w:val="20"/>
          <w:lang w:eastAsia="ar-SA"/>
        </w:rPr>
        <w:t>d.M.</w:t>
      </w:r>
      <w:proofErr w:type="spellEnd"/>
      <w:r>
        <w:rPr>
          <w:rFonts w:ascii="Tahoma" w:eastAsia="Times New Roman" w:hAnsi="Tahoma" w:cs="Tahoma"/>
          <w:color w:val="000000"/>
          <w:sz w:val="20"/>
          <w:szCs w:val="20"/>
          <w:lang w:eastAsia="ar-SA"/>
        </w:rPr>
        <w:t xml:space="preserve"> 22 gennaio 2008, n. 37;</w:t>
      </w:r>
    </w:p>
    <w:p w14:paraId="69005245" w14:textId="77777777" w:rsidR="004400BA" w:rsidRDefault="004400BA" w:rsidP="004400BA">
      <w:pPr>
        <w:numPr>
          <w:ilvl w:val="0"/>
          <w:numId w:val="3"/>
        </w:numPr>
        <w:suppressAutoHyphens/>
        <w:spacing w:before="119" w:after="62"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che intende ricorrere alla cooptazione dell'impresa 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4C611CFF" w14:textId="77777777" w:rsidR="004400BA" w:rsidRDefault="004400BA" w:rsidP="004400BA">
      <w:pPr>
        <w:numPr>
          <w:ilvl w:val="0"/>
          <w:numId w:val="1"/>
        </w:numPr>
        <w:suppressAutoHyphens/>
        <w:spacing w:before="120" w:after="120"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autorizzare il trattamento dei dati personali ai sensi dell’informativa riportata nel paragrafo “TRATTAMENTO DEI DATI PERSONALI” del Disciplinare di gara.</w:t>
      </w:r>
    </w:p>
    <w:p w14:paraId="0291824D" w14:textId="77777777" w:rsidR="00F64BE4" w:rsidRDefault="00F64BE4">
      <w:bookmarkStart w:id="5" w:name="_GoBack"/>
      <w:bookmarkEnd w:id="5"/>
    </w:p>
    <w:sectPr w:rsidR="00F64BE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bullet"/>
      <w:lvlText w:val="o"/>
      <w:lvlJc w:val="left"/>
      <w:pPr>
        <w:tabs>
          <w:tab w:val="num" w:pos="1080"/>
        </w:tabs>
        <w:ind w:left="1080" w:hanging="360"/>
      </w:pPr>
      <w:rPr>
        <w:rFonts w:ascii="Courier New" w:hAnsi="Courier New" w:cs="Tahoma"/>
      </w:rPr>
    </w:lvl>
    <w:lvl w:ilvl="2">
      <w:start w:val="1"/>
      <w:numFmt w:val="bullet"/>
      <w:lvlText w:val=""/>
      <w:lvlJc w:val="left"/>
      <w:pPr>
        <w:tabs>
          <w:tab w:val="num" w:pos="1800"/>
        </w:tabs>
        <w:ind w:left="1800" w:hanging="360"/>
      </w:pPr>
      <w:rPr>
        <w:rFonts w:ascii="Wingdings" w:hAnsi="Wingdings"/>
      </w:rPr>
    </w:lvl>
    <w:lvl w:ilvl="3">
      <w:start w:val="1"/>
      <w:numFmt w:val="bullet"/>
      <w:lvlText w:val=""/>
      <w:lvlJc w:val="left"/>
      <w:pPr>
        <w:tabs>
          <w:tab w:val="num" w:pos="2520"/>
        </w:tabs>
        <w:ind w:left="2520" w:hanging="360"/>
      </w:pPr>
      <w:rPr>
        <w:rFonts w:ascii="Wingdings" w:hAnsi="Wingdings"/>
      </w:rPr>
    </w:lvl>
    <w:lvl w:ilvl="4">
      <w:start w:val="1"/>
      <w:numFmt w:val="bullet"/>
      <w:lvlText w:val=""/>
      <w:lvlJc w:val="left"/>
      <w:pPr>
        <w:tabs>
          <w:tab w:val="num" w:pos="3240"/>
        </w:tabs>
        <w:ind w:left="3240" w:hanging="360"/>
      </w:pPr>
      <w:rPr>
        <w:rFonts w:ascii="Wingdings" w:hAnsi="Wingdings"/>
      </w:rPr>
    </w:lvl>
    <w:lvl w:ilvl="5">
      <w:start w:val="1"/>
      <w:numFmt w:val="bullet"/>
      <w:lvlText w:val=""/>
      <w:lvlJc w:val="left"/>
      <w:pPr>
        <w:tabs>
          <w:tab w:val="num" w:pos="3960"/>
        </w:tabs>
        <w:ind w:left="3960" w:hanging="360"/>
      </w:pPr>
      <w:rPr>
        <w:rFonts w:ascii="Wingdings" w:hAnsi="Wingdings"/>
      </w:rPr>
    </w:lvl>
    <w:lvl w:ilvl="6">
      <w:start w:val="1"/>
      <w:numFmt w:val="bullet"/>
      <w:lvlText w:val=""/>
      <w:lvlJc w:val="left"/>
      <w:pPr>
        <w:tabs>
          <w:tab w:val="num" w:pos="4680"/>
        </w:tabs>
        <w:ind w:left="4680" w:hanging="360"/>
      </w:pPr>
      <w:rPr>
        <w:rFonts w:ascii="Wingdings" w:hAnsi="Wingdings"/>
      </w:rPr>
    </w:lvl>
    <w:lvl w:ilvl="7">
      <w:start w:val="1"/>
      <w:numFmt w:val="bullet"/>
      <w:lvlText w:val=""/>
      <w:lvlJc w:val="left"/>
      <w:pPr>
        <w:tabs>
          <w:tab w:val="num" w:pos="5400"/>
        </w:tabs>
        <w:ind w:left="5400" w:hanging="360"/>
      </w:pPr>
      <w:rPr>
        <w:rFonts w:ascii="Wingdings" w:hAnsi="Wingdings"/>
      </w:rPr>
    </w:lvl>
    <w:lvl w:ilvl="8">
      <w:start w:val="1"/>
      <w:numFmt w:val="bullet"/>
      <w:lvlText w:val=""/>
      <w:lvlJc w:val="left"/>
      <w:pPr>
        <w:tabs>
          <w:tab w:val="num" w:pos="6120"/>
        </w:tabs>
        <w:ind w:left="6120" w:hanging="360"/>
      </w:pPr>
      <w:rPr>
        <w:rFonts w:ascii="Wingdings" w:hAnsi="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2"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3" w15:restartNumberingAfterBreak="0">
    <w:nsid w:val="4E457966"/>
    <w:multiLevelType w:val="hybridMultilevel"/>
    <w:tmpl w:val="B366D38A"/>
    <w:lvl w:ilvl="0" w:tplc="AEF8DED4">
      <w:start w:val="1"/>
      <w:numFmt w:val="lowerLetter"/>
      <w:lvlText w:val="%1)"/>
      <w:lvlJc w:val="left"/>
      <w:pPr>
        <w:ind w:left="786" w:hanging="360"/>
      </w:pPr>
      <w:rPr>
        <w:b w:val="0"/>
        <w:strike w:val="0"/>
        <w:dstrike w:val="0"/>
        <w:sz w:val="20"/>
        <w:szCs w:val="20"/>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0BA"/>
    <w:rsid w:val="000C6425"/>
    <w:rsid w:val="001D6D1E"/>
    <w:rsid w:val="002A12D7"/>
    <w:rsid w:val="002F673A"/>
    <w:rsid w:val="00324B22"/>
    <w:rsid w:val="00360C51"/>
    <w:rsid w:val="00367E06"/>
    <w:rsid w:val="003C5CFC"/>
    <w:rsid w:val="00414B81"/>
    <w:rsid w:val="004400BA"/>
    <w:rsid w:val="005402BB"/>
    <w:rsid w:val="00686784"/>
    <w:rsid w:val="00797EFE"/>
    <w:rsid w:val="00857755"/>
    <w:rsid w:val="00946DC6"/>
    <w:rsid w:val="00954B6C"/>
    <w:rsid w:val="00AB66A5"/>
    <w:rsid w:val="00C04D6B"/>
    <w:rsid w:val="00CD7E1B"/>
    <w:rsid w:val="00DF2800"/>
    <w:rsid w:val="00E16D02"/>
    <w:rsid w:val="00F25F48"/>
    <w:rsid w:val="00F64B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16156"/>
  <w15:chartTrackingRefBased/>
  <w15:docId w15:val="{0CBBCECD-F33C-4FDD-AA93-968795B01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4400BA"/>
    <w:pPr>
      <w:spacing w:line="254"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4400BA"/>
    <w:rPr>
      <w:color w:val="0563C1" w:themeColor="hyperlink"/>
      <w:u w:val="single"/>
    </w:rPr>
  </w:style>
  <w:style w:type="paragraph" w:styleId="Paragrafoelenco">
    <w:name w:val="List Paragraph"/>
    <w:basedOn w:val="Normale"/>
    <w:uiPriority w:val="34"/>
    <w:qFormat/>
    <w:rsid w:val="00CD7E1B"/>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939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5</Pages>
  <Words>2491</Words>
  <Characters>14200</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18</cp:revision>
  <dcterms:created xsi:type="dcterms:W3CDTF">2022-04-14T12:03:00Z</dcterms:created>
  <dcterms:modified xsi:type="dcterms:W3CDTF">2022-10-19T08:28:00Z</dcterms:modified>
</cp:coreProperties>
</file>